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4044950" cy="317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55pt" to="319.55pt,2.55pt" ID="Obrázek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Závěrečný účet Vodárenského svazku Podyjí za rok 2017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2017</w:t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ab/>
        <w:t xml:space="preserve">  0,00</w:t>
        <w:tab/>
        <w:t xml:space="preserve">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</w: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/>
          <w:sz w:val="24"/>
          <w:szCs w:val="24"/>
        </w:rPr>
        <w:t xml:space="preserve"> 445 396,07</w:t>
        <w:tab/>
        <w:t>Kč</w:t>
        <w:tab/>
        <w:tab/>
        <w:t xml:space="preserve">            89,06</w:t>
        <w:tab/>
        <w:t>%</w:t>
      </w:r>
      <w:bookmarkEnd w:id="0"/>
      <w:bookmarkEnd w:id="1"/>
      <w:bookmarkEnd w:id="2"/>
      <w:bookmarkEnd w:id="3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</w:t>
        <w:tab/>
        <w:t>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4 -  přijaté transfery </w:t>
        <w:tab/>
        <w:tab/>
        <w:tab/>
        <w:t xml:space="preserve">   42.999,00</w:t>
        <w:tab/>
        <w:t>Kč</w:t>
        <w:tab/>
        <w:tab/>
        <w:t xml:space="preserve">          100,00</w:t>
        <w:tab/>
        <w:t>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ab/>
        <w:t xml:space="preserve"> 488 395,07</w:t>
        <w:tab/>
        <w:t>Kč</w:t>
        <w:tab/>
        <w:tab/>
        <w:t xml:space="preserve">            89,93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  <w:t xml:space="preserve"> 469 818,10</w:t>
        <w:tab/>
        <w:t>Kč</w:t>
        <w:tab/>
        <w:tab/>
        <w:t xml:space="preserve">             87,31</w:t>
        <w:tab/>
        <w:t>%</w:t>
      </w:r>
      <w:bookmarkStart w:id="4" w:name="OLE_LINK5"/>
      <w:bookmarkStart w:id="5" w:name="OLE_LINK6"/>
      <w:bookmarkStart w:id="6" w:name="OLE_LINK7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0,-</w:t>
        <w:tab/>
        <w:t>Kč</w:t>
        <w:tab/>
        <w:tab/>
        <w:tab/>
        <w:t xml:space="preserve">    0</w:t>
        <w:tab/>
        <w:t>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  <w:t>469 818,10</w:t>
        <w:tab/>
        <w:t>Kč</w:t>
        <w:tab/>
        <w:tab/>
        <w:t xml:space="preserve">             87,31</w:t>
        <w:tab/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  <w:t xml:space="preserve">   </w:t>
      </w:r>
      <w:bookmarkStart w:id="7" w:name="__DdeLink__205_2370835276"/>
      <w:r>
        <w:rPr>
          <w:rFonts w:ascii="Times New Roman" w:hAnsi="Times New Roman"/>
          <w:sz w:val="24"/>
          <w:szCs w:val="24"/>
        </w:rPr>
        <w:t>18 576,97</w:t>
      </w:r>
      <w:bookmarkEnd w:id="7"/>
      <w:r>
        <w:rPr>
          <w:rFonts w:ascii="Times New Roman" w:hAnsi="Times New Roman"/>
          <w:sz w:val="24"/>
          <w:szCs w:val="24"/>
        </w:rPr>
        <w:tab/>
        <w:t>Kč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8 – financování</w:t>
        <w:tab/>
        <w:tab/>
        <w:tab/>
        <w:tab/>
        <w:t xml:space="preserve"> - 18 576,97</w:t>
        <w:tab/>
        <w:t xml:space="preserve">Kč  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2017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2016</w:t>
        <w:tab/>
        <w:tab/>
        <w:t>k 31. 12. 2017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8" w:name="OLE_LINK11"/>
      <w:bookmarkStart w:id="9" w:name="OLE_LINK12"/>
      <w:bookmarkStart w:id="10" w:name="OLE_LINK13"/>
      <w:r>
        <w:rPr>
          <w:rFonts w:ascii="Times New Roman" w:hAnsi="Times New Roman"/>
          <w:sz w:val="24"/>
          <w:szCs w:val="24"/>
        </w:rPr>
        <w:tab/>
        <w:t>54 126,80 Kč</w:t>
      </w:r>
      <w:bookmarkEnd w:id="8"/>
      <w:bookmarkEnd w:id="9"/>
      <w:bookmarkEnd w:id="1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žádné fondy.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hospodářskou činnost.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8"/>
          <w:szCs w:val="28"/>
          <w:u w:val="single"/>
          <w:lang w:val="cs-CZ" w:eastAsia="cs-CZ" w:bidi="ar-SA"/>
        </w:rPr>
        <w:t>Dotace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4121 – transfery od členských obcí</w:t>
        <w:tab/>
        <w:tab/>
        <w:t>42 999,00 Kč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2017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26. února 2018. 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s.r.o.,  č. osvědčení  435.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 05. 2018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Sejmuto:……………………..                                 Sejmuto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May 31,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18</TotalTime>
  <Application>LibreOffice/6.0.2.1$Windows_X86_64 LibreOffice_project/f7f06a8f319e4b62f9bc5095aa112a65d2f3ac89</Application>
  <Pages>2</Pages>
  <Words>244</Words>
  <Characters>1227</Characters>
  <CharactersWithSpaces>1746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2018-05-31T20:46:55Z</dcterms:modified>
  <cp:revision>12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