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4045585" cy="381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449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6pt" to="319.6pt,2.7pt" ID="Obrázek1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Návrh závěrečného účtu Vodárenského svazku Podyjí za rok 20</w:t>
      </w:r>
      <w:r>
        <w:rPr>
          <w:rFonts w:ascii="Times New Roman" w:hAnsi="Times New Roman"/>
          <w:b/>
          <w:sz w:val="36"/>
          <w:szCs w:val="36"/>
        </w:rPr>
        <w:t>20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 xml:space="preserve">               0,00 %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  <w:t xml:space="preserve"> 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820 178,50</w:t>
      </w:r>
      <w:bookmarkStart w:id="0" w:name="OLE_LINK4"/>
      <w:bookmarkStart w:id="1" w:name="OLE_LINK3"/>
      <w:bookmarkStart w:id="2" w:name="OLE_LINK2"/>
      <w:bookmarkStart w:id="3" w:name="OLE_LINK1"/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99,97 </w:t>
      </w:r>
      <w:r>
        <w:rPr>
          <w:rFonts w:ascii="Times New Roman" w:hAnsi="Times New Roman"/>
          <w:sz w:val="24"/>
          <w:szCs w:val="24"/>
        </w:rPr>
        <w:t>%</w:t>
      </w:r>
      <w:bookmarkEnd w:id="0"/>
      <w:bookmarkEnd w:id="1"/>
      <w:bookmarkEnd w:id="2"/>
      <w:bookmarkEnd w:id="3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0,00 %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4 -  přijaté transfery</w:t>
        <w:tab/>
        <w:tab/>
        <w:t xml:space="preserve">  </w:t>
        <w:tab/>
        <w:t xml:space="preserve">   </w:t>
      </w:r>
      <w:r>
        <w:rPr>
          <w:rFonts w:ascii="Times New Roman" w:hAnsi="Times New Roman"/>
          <w:sz w:val="24"/>
          <w:szCs w:val="24"/>
        </w:rPr>
        <w:t>49 600,00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  <w:tab/>
        <w:tab/>
        <w:t xml:space="preserve">           100,0</w:t>
      </w:r>
      <w:r>
        <w:rPr>
          <w:rFonts w:ascii="Times New Roman" w:hAnsi="Times New Roman"/>
          <w:sz w:val="24"/>
          <w:szCs w:val="24"/>
        </w:rPr>
        <w:t>0 %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 xml:space="preserve">            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869 778,50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 9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97 </w:t>
      </w:r>
      <w:r>
        <w:rPr>
          <w:rFonts w:ascii="Times New Roman" w:hAnsi="Times New Roman"/>
          <w:b/>
          <w:sz w:val="24"/>
          <w:szCs w:val="24"/>
        </w:rPr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  <w:t xml:space="preserve">  </w:t>
      </w:r>
      <w:r>
        <w:rPr>
          <w:rFonts w:ascii="Times New Roman" w:hAnsi="Times New Roman"/>
          <w:sz w:val="24"/>
          <w:szCs w:val="24"/>
        </w:rPr>
        <w:t>570 521,77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  <w:tab/>
        <w:tab/>
        <w:t xml:space="preserve">             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73,29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%</w:t>
      </w:r>
      <w:bookmarkStart w:id="4" w:name="OLE_LINK7"/>
      <w:bookmarkStart w:id="5" w:name="OLE_LINK6"/>
      <w:bookmarkStart w:id="6" w:name="OLE_LINK5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0,00</w:t>
        <w:tab/>
        <w:t>Kč</w:t>
        <w:tab/>
        <w:tab/>
        <w:tab/>
        <w:t xml:space="preserve">   0,00 %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570 521,77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  <w:tab/>
        <w:tab/>
        <w:t xml:space="preserve">           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73,29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%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  <w:t xml:space="preserve">  </w:t>
      </w:r>
      <w:bookmarkStart w:id="7" w:name="__DdeLink__230_320591666"/>
      <w:r>
        <w:rPr>
          <w:rFonts w:ascii="Times New Roman" w:hAnsi="Times New Roman"/>
          <w:sz w:val="24"/>
          <w:szCs w:val="24"/>
        </w:rPr>
        <w:t>299 256,73</w:t>
      </w:r>
      <w:bookmarkEnd w:id="7"/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>Kč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Třída 8 – financování</w:t>
        <w:tab/>
        <w:tab/>
        <w:tab/>
        <w:tab/>
        <w:t xml:space="preserve">-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299 256,73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ab/>
        <w:t xml:space="preserve">Kč 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  <w:tab/>
        <w:t>k 31. 12. 20</w:t>
      </w:r>
      <w:r>
        <w:rPr>
          <w:rFonts w:ascii="Times New Roman" w:hAnsi="Times New Roman"/>
          <w:b/>
          <w:sz w:val="24"/>
          <w:szCs w:val="24"/>
        </w:rPr>
        <w:t>20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8" w:name="OLE_LINK13"/>
      <w:bookmarkStart w:id="9" w:name="OLE_LINK12"/>
      <w:bookmarkStart w:id="10" w:name="OLE_LINK1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31 609,20</w:t>
      </w:r>
      <w:r>
        <w:rPr>
          <w:rFonts w:ascii="Times New Roman" w:hAnsi="Times New Roman"/>
          <w:sz w:val="24"/>
          <w:szCs w:val="24"/>
        </w:rPr>
        <w:t xml:space="preserve"> Kč</w:t>
      </w:r>
      <w:bookmarkEnd w:id="8"/>
      <w:bookmarkEnd w:id="9"/>
      <w:bookmarkEnd w:id="1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Svazek neobdržel v roce 20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20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žádné dotace.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</w:t>
      </w:r>
      <w:r>
        <w:rPr>
          <w:rFonts w:ascii="Times New Roman" w:hAnsi="Times New Roman"/>
          <w:sz w:val="24"/>
          <w:szCs w:val="24"/>
        </w:rPr>
        <w:t>16. září 2020 dílčí a 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března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 konečné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Ing. 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7.4.2021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Sejmuto:……………………..                                 Sejmuto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April 7,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39</TotalTime>
  <Application>LibreOffice/6.0.2.1$Windows_X86_64 LibreOffice_project/f7f06a8f319e4b62f9bc5095aa112a65d2f3ac89</Application>
  <Pages>2</Pages>
  <Words>232</Words>
  <Characters>1158</Characters>
  <CharactersWithSpaces>1695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2021-04-07T19:43:25Z</dcterms:modified>
  <cp:revision>15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